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bookmarkStart w:id="0" w:name="_GoBack"/>
      <w:r>
        <w:rPr>
          <w:rFonts w:hint="eastAsia"/>
        </w:rPr>
        <w:t>2018年中国地质大学（武汉）应用经济学专业真题回忆（900）</w:t>
      </w:r>
    </w:p>
    <w:bookmarkEnd w:id="0"/>
    <w:p>
      <w:r>
        <w:rPr>
          <w:rFonts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一，名词解释(6*5分，共30)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1.机会成本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2.实际余额效应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3.永久收入假说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4.恩格尔系数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5.帕累托标准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6.IS曲线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二，简答(4*10分，共40)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1.利用经济学原理简要解释正常品，劣等品，吉芬商品。各举一例。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2.简要分析宏观经济的AD–AS曲线与微观经济学的供求定律之间的异同。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3.简述在完全竞争市场中，企业利用广告带来的收益。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4.简述摩擦性失业为何有时不可避免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三，计算题(2*15分，共30)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1.从X,Y的效用曲线与预算线求需求曲线(同2006年西方经济学真题计算题第一题)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2.两部门经济，给出货币需求函数ky-hr，M=150,价格P，消费曲线C=α+βy，投资曲线i=e-dr，(1)求需求曲线  (2)给定P=1,求均衡利率与产出水平 (3)给出AS,求均衡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四，论述(2*25分)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1，联系我国实际，分析市场失灵</w:t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Tahoma" w:hAnsi="Tahoma" w:eastAsia="Tahoma" w:cs="Tahoma"/>
          <w:i w:val="0"/>
          <w:iCs w:val="0"/>
          <w:caps w:val="0"/>
          <w:color w:val="444444"/>
          <w:spacing w:val="0"/>
          <w:sz w:val="21"/>
          <w:szCs w:val="21"/>
          <w:shd w:val="clear" w:fill="FFFFFF"/>
        </w:rPr>
        <w:t>2，解释经济增长与经济发展，联系我国实际，论述绿色发展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A3E44"/>
    <w:rsid w:val="0A5A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2021-08-10T08:57:00Z</dcterms:created>
  <dc:creator>湖北新文道网络部</dc:creator>
  <cp:lastModifiedBy>湖北新文道网络部</cp:lastModifiedBy>
  <dcterms:modified xsi:type="dcterms:W3CDTF">2021-08-10T09:00:26Z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7F6DEA3915AB4DC48F41E6BD07D5232E</vt:lpwstr>
  </property>
</Properties>
</file>